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Layout w:type="fixed"/>
        <w:tblLook w:val="0000"/>
      </w:tblPr>
      <w:tblGrid>
        <w:gridCol w:w="6062"/>
        <w:gridCol w:w="4544"/>
        <w:tblGridChange w:id="0">
          <w:tblGrid>
            <w:gridCol w:w="6062"/>
            <w:gridCol w:w="4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miejscowość, data</w:t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0" w:right="-144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0" w:right="-144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0" w:right="-144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INFRASTRUKTURA NIEPOŁOMICE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ul. Droga Królewska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32-005 Niepołomice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center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FORMULARZ OFERTY</w:t>
      </w:r>
    </w:p>
    <w:tbl>
      <w:tblPr>
        <w:tblStyle w:val="Table2"/>
        <w:tblW w:w="10682.0" w:type="dxa"/>
        <w:jc w:val="left"/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(pełna nazwa Wykonawcy/Wykonawców wspólnie ubiegających się o udzielenie zamówienia)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(dokładny adres Wykonawcy/ Wykonawców wspólnie ubiegających się o udzielenie zamówienia)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Layout w:type="fixed"/>
        <w:tblLook w:val="0000"/>
      </w:tblPr>
      <w:tblGrid>
        <w:gridCol w:w="1809"/>
        <w:gridCol w:w="7401"/>
        <w:tblGridChange w:id="0">
          <w:tblGrid>
            <w:gridCol w:w="1809"/>
            <w:gridCol w:w="74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NIP/PESEL/KRS: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Numer konta 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telefon,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4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 związku z ogłoszeniem postępowania o udzielenie zamówienia publicznego prowadzonego w trybie rozeznania rynku pn. </w:t>
      </w:r>
      <w:r w:rsidDel="00000000" w:rsidR="00000000" w:rsidRPr="00000000">
        <w:rPr>
          <w:b w:val="1"/>
          <w:sz w:val="20"/>
          <w:szCs w:val="20"/>
          <w:rtl w:val="0"/>
        </w:rPr>
        <w:t xml:space="preserve">: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Dostawa nowego  samochodu asenizacyjnego na potrzeby  Infrastruktury  Niepołomice Sp. z o.o.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nr sprawy: 4/ZK/2024 przez INFRASTRUKTURA NIEPOŁOMICE Sp. z o.o., w odpowiedzi na Zapytanie Ofertowe oferujemy: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Oferujemy nowy samochód  asenizacyjny z zabudową o pojemności 10000l wraz z osprzętem </w:t>
      </w:r>
      <w:r w:rsidDel="00000000" w:rsidR="00000000" w:rsidRPr="00000000">
        <w:rPr>
          <w:rtl w:val="0"/>
        </w:rPr>
      </w:r>
    </w:p>
    <w:tbl>
      <w:tblPr>
        <w:tblStyle w:val="Table5"/>
        <w:tblW w:w="10503.000000000002" w:type="dxa"/>
        <w:jc w:val="left"/>
        <w:tblLayout w:type="fixed"/>
        <w:tblLook w:val="0000"/>
      </w:tblPr>
      <w:tblGrid>
        <w:gridCol w:w="4556"/>
        <w:gridCol w:w="5947"/>
        <w:tblGridChange w:id="0">
          <w:tblGrid>
            <w:gridCol w:w="4556"/>
            <w:gridCol w:w="5947"/>
          </w:tblGrid>
        </w:tblGridChange>
      </w:tblGrid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Oferowany sprzęt (wskazać nazwę)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48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Rok produkcji pojazdu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48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netto (zł):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Podatek VAT (zł):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Cena brutto (zł):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słownie: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 celu  realizacji zamówienia Wykonawca  wymaga zaliczki w kwocie ……………………zł netto (  tj  …..% wartości zamówienia , zgodnie z  treścią zapytania ofertowego i  warunkami Zamawiającego nie więcej niż  25  %  ogólnej wartości netto Zamówienia)  </w:t>
      </w:r>
    </w:p>
    <w:p w:rsidR="00000000" w:rsidDel="00000000" w:rsidP="00000000" w:rsidRDefault="00000000" w:rsidRPr="00000000" w14:paraId="0000003A">
      <w:pPr>
        <w:widowControl w:val="0"/>
        <w:spacing w:after="0" w:line="276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76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center"/>
        <w:tblLayout w:type="fixed"/>
        <w:tblLook w:val="0400"/>
      </w:tblPr>
      <w:tblGrid>
        <w:gridCol w:w="960"/>
        <w:gridCol w:w="4280"/>
        <w:gridCol w:w="3760"/>
        <w:tblGridChange w:id="0">
          <w:tblGrid>
            <w:gridCol w:w="960"/>
            <w:gridCol w:w="4280"/>
            <w:gridCol w:w="37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WYMAGANIA  ( parametry konieczne  do zakwalifikowania oferty 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CHARAKTERYSTYKA OFEROWANEGO POJAZDU (WYKONAWCA) -  wykonawca  wypełnia wpisując  </w:t>
              <w:br w:type="textWrapping"/>
              <w:t xml:space="preserve">w  odpowiednim wierszu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TAK  lub NIE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OGÓLNE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DMC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000 kg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rok produkcji podwozia nie starszy niż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Norma emisji spalin co najmniej EURO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typ zabudowy nowa beczka asenizacyjna 10000L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KABINA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lusterko główne i lusterko szerokokątne po stronie kierowcy i zmiennika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lusterko krawężnikowe po stronie zmiennika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klimatyzacja z recyrkulacją powietrza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wywietrznik dachowy z ręcznym sterowaniem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tempomat adaptacyjny z układem ostrzegania przed uderzeniem w przód pojazdu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UKŁAD NAPĘDOWY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silnik wysokoprężny, 6 cylindrowy o mocy min.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 KM, diesel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napędzana oś tylna z mechaniczną blokadą mechanizmu różnicowego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ogranicznik prędkości do max 90 km/h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ASR (układ kontroli przyczepności)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Skrzynia manualna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UKŁAD HAMULCOWY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hamulec silnikowy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sterowanie hamulcem postojowym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PODWOZIE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rozstaw osi min. 3,75m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2-osiowe, układ napędowy 4x2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tylna oś z zawieszeniem pneumatycznym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przednia oś z zawieszeniem resorowym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max obciążenie tylnej osi 13,0 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max obciążenie przedniej osi 7,5 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nowe ogumienie kół jezdnych - całoroczne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koło zapasowe zgodne z ogumieniem kół jezdnych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kliny pod koła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wsporniki świateł tylnych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zespół świateł tylnych z diodami 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wzmocnione zawieszenie mechaniczne kabiny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halogenowe światła przednie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dwa światła ostrzegawcze LED na dachu kabiny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WYPOSAŻENIE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DODATKOWE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zalegalizowany tachograf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zbiornik paliwa minimum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zbiornik AdBlue minimum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ostrzegawczy trójkąt odblaskowy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apteczka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kliny pod koła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gaśnica samochodowa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układ ostrzegania o opuszczeniu pasa ruchu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układ kontroli stabilności jazdy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akustyczny, ostrzegawczy sygnał cofania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układ wskaźnika ciśnienia w ogumieniu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CHARAKTERYSTYKA ZABUDOWY POJAZDU ASENIZACYJNEGO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fabryczna nowa cysterna (beczka) asenizacyjna </w:t>
              <w:br w:type="textWrapping"/>
              <w:t xml:space="preserve">o pojemności minimum 10000l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zbiornik cylindryczny wykonany z blachy stalowej</w:t>
              <w:br w:type="textWrapping"/>
              <w:t xml:space="preserve">o grubości 6mm, wzmocniony pierścieniami zewnętrznymi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nachylenie zbiornika 4-5°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zbiornik wyposażony w dwie przegrody wewnętrzne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kompresor ssąco – tłoczący z napędem mechanicznym  min. 14500 l/min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głębokość zasysania min. 8m od poziomu jezdni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tylna dennica otwierana hydraulicznie, ryglowana mechanicznie, wyposażona w przyłącze oraz zasuwę wyposażoną w zawór odpowietrzający </w:t>
              <w:br w:type="textWrapping"/>
              <w:t xml:space="preserve">i ociekacz pod zasuwą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króciec ssąco spustowy dodatkowy umieszczony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 przodu beczki po stronie prawej DN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króciec ssąco spustowy umieszczony na dennicy tylnej z przyłączem strażackim 110mm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górny zawór pływakowy znajdujący się wewnątrz zbiornika z podwójnymi kulami, dolny zawór pływakowy znajdujący się pod kompresorem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płynowskaz wykonany z poliwęglanu, wyskalowany, w przedniej części zbiornika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manowakuometr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wychwytywacz oleju smarującego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tłumik hałasu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kosz ssawny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inżektor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przeniesienie napędu z podwozia przystawką odbioru mocy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lampa typu „kogut” w tylnej części zbiornika oraz lampa typu halogen do oświetlenia miejsca pracy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INNE WYMAGANIA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Pojazd musi spełniać wymogi wynikające </w:t>
              <w:br w:type="textWrapping"/>
              <w:t xml:space="preserve">z przepisów o ruchu drogowym i być dopuszczony do poruszania się po drogach publicznych, zgodnie z ustawą z dnia 20 czerwca 1997 r. Prawo o ruchu drogowym (tekst jednolity: Dz. U. z 2023 r. poz. 1047 z późn. zm.)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Pojazd musi posiadać świadectwo homologacji lub inny dokument dopuszczający do ruchu oraz spełniać wymogi określone w Rozporządzeniu Ministra Infrastruktury z dnia 12 listopada 2002 r. w sprawie wymagań dla pojazdów asenizacyjnych (Dz. U. 2002 r. nr 193 poz. 1617 z późn. zm.) oraz Rozporządzenia Ministra Infrastruktury z dnia 31 grudnia 2002 r. w sprawie warunków technicznych pojazdów oraz zakresu ich niezbędnego wyposażenia (t. j. Dz. U. z 2016 r. poz. 2022) -  [świadectwo wykonania szczelności zbiornika pojazdu asenizacyjnego]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Pojazd wyprodukowany do ruchu prawostronnego, kierownica fabrycznie umieszczona po lewej stronie kabiny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Zabudowa asenizacyjna oraz podwozie posiadające autoryzowaną sieć serwisową w Polsce z pełnym dostępem do serwisu i części zamiennych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Gwarancja minimum 24 miesięcy na zabudowie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Gwarancja minimum 36 miesięcy na podwozie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Przeprowadzenie szkolenia z obsługi pojazdu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Wykonawca wraz z dostawą pojazdu dostarczy Zamawiającemu sporządzony w języku polskim dowód rejestracyjny pojazdu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Przystępując do udziału w postępowaniu, oświadczamy, że:</w:t>
      </w:r>
    </w:p>
    <w:p w:rsidR="00000000" w:rsidDel="00000000" w:rsidP="00000000" w:rsidRDefault="00000000" w:rsidRPr="00000000" w14:paraId="000001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hanging="28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cena oferty uwzględnia wszystkie należne nam elementy wynagrodzenia wynikające z tytułu przygotowania, realizacji </w:t>
        <w:br w:type="textWrapping"/>
        <w:t xml:space="preserve">i rozliczenia przedmiotu zamówienia;</w:t>
      </w:r>
    </w:p>
    <w:p w:rsidR="00000000" w:rsidDel="00000000" w:rsidP="00000000" w:rsidRDefault="00000000" w:rsidRPr="00000000" w14:paraId="000001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hanging="28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zamówienie  zrealizujemy w terminie wskazanym w Zapytaniu Ofertowym;</w:t>
      </w:r>
    </w:p>
    <w:p w:rsidR="00000000" w:rsidDel="00000000" w:rsidP="00000000" w:rsidRDefault="00000000" w:rsidRPr="00000000" w14:paraId="000001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hanging="28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zdobyliśmy wszystkie niezbędne informacje konieczne do rzetelnego skalkulowania naszej oferty;</w:t>
      </w:r>
    </w:p>
    <w:p w:rsidR="00000000" w:rsidDel="00000000" w:rsidP="00000000" w:rsidRDefault="00000000" w:rsidRPr="00000000" w14:paraId="000001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hanging="28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posiadamy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wszystkie niezbędne prawem wymagane pozwolenia, zezwolenia, decyzje wymagane przez UDT i TDT oraz zgodne z Rozporządzeniem Ministra Infrastruktury z dnia 12 listopada 2002 r. w sprawie wymagań dla pojazdów asenizacyjnych (Dz. U. 2002 nr 193 poz. 1617) konieczne do realizacji przedmiotu z</w:t>
      </w:r>
      <w:r w:rsidDel="00000000" w:rsidR="00000000" w:rsidRPr="00000000">
        <w:rPr>
          <w:sz w:val="20"/>
          <w:szCs w:val="20"/>
          <w:rtl w:val="0"/>
        </w:rPr>
        <w:t xml:space="preserve">amówienia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wykonaliśmy minimum 3 dostawy pojazdu asenizacyjnego w ciągu ostatnich 3 lat potwierdzone referencjami. Wykaz  dostaw  wraz z referencjami  załączamy do formularza oferty</w:t>
      </w:r>
      <w:r w:rsidDel="00000000" w:rsidR="00000000" w:rsidRPr="00000000">
        <w:rPr>
          <w:sz w:val="20"/>
          <w:szCs w:val="20"/>
          <w:rtl w:val="0"/>
        </w:rPr>
        <w:t xml:space="preserve"> ( zgodnie ze wzorem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hanging="28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zapoznaliśmy się treścią opisu przedmiotu zamówienia oraz projektem umowy i  odpowiedziami na pytania  i nie wnosimy do nich zastrzeżeń;</w:t>
      </w:r>
    </w:p>
    <w:p w:rsidR="00000000" w:rsidDel="00000000" w:rsidP="00000000" w:rsidRDefault="00000000" w:rsidRPr="00000000" w14:paraId="000001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posiadamy kwalifikacje i potencjał techniczny niezbędny do wykonania niniejszego z</w:t>
      </w:r>
      <w:r w:rsidDel="00000000" w:rsidR="00000000" w:rsidRPr="00000000">
        <w:rPr>
          <w:sz w:val="20"/>
          <w:szCs w:val="20"/>
          <w:rtl w:val="0"/>
        </w:rPr>
        <w:t xml:space="preserve">amówienia; </w:t>
      </w:r>
    </w:p>
    <w:p w:rsidR="00000000" w:rsidDel="00000000" w:rsidP="00000000" w:rsidRDefault="00000000" w:rsidRPr="00000000" w14:paraId="000001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dostarczony  przedmiot  zamówienia  jest  sprawny  technicznie, spełnia wymogi wynikające z odpowiednich przepisów,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także jest wolny od jakichkolwiek wad fizycznych i prawnych, </w:t>
      </w:r>
    </w:p>
    <w:p w:rsidR="00000000" w:rsidDel="00000000" w:rsidP="00000000" w:rsidRDefault="00000000" w:rsidRPr="00000000" w14:paraId="0000013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gwarantujemy  zachowanie  parametrów  dostarczonego  pojazdu zgodnych z  parametrami określonymi </w:t>
        <w:br w:type="textWrapping"/>
        <w:t xml:space="preserve">w szczegółowym opisie przedmiotu zamówienia,</w:t>
      </w:r>
    </w:p>
    <w:p w:rsidR="00000000" w:rsidDel="00000000" w:rsidP="00000000" w:rsidRDefault="00000000" w:rsidRPr="00000000" w14:paraId="000001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hanging="28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 razie wybrania naszej oferty  zobowiązujemy się do podpisania umowy z tak określonymi warunkami w miejscu </w:t>
        <w:br w:type="textWrapping"/>
        <w:t xml:space="preserve">i terminie wskazanym przez Zamawiającego;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Do kontaktów z Zamawiającym w zakresie związanym z niniejszym zamówieniem </w:t>
      </w:r>
      <w:r w:rsidDel="00000000" w:rsidR="00000000" w:rsidRPr="00000000">
        <w:rPr>
          <w:sz w:val="20"/>
          <w:szCs w:val="20"/>
          <w:rtl w:val="0"/>
        </w:rPr>
        <w:t xml:space="preserve">upoważniam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następujące osoby: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.....................................................…………........ tel. ........………………………….....................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.....................................................…………........ tel. ........………………………….....................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leader="none" w:pos="360"/>
        </w:tabs>
        <w:ind w:left="0" w:right="57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Oświadczam, że nie podlegam wykluczeniu na podstawie  art. 7 ust 1 ustawy z dnia 13 kwietnia  2022 r. o szczególnych rozwiązaniach w zakresie przeciwdziałania wspieraniu agresji na Ukrainę oraz służących ochronie bezpieczeństwa narodowego.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192405" cy="139065"/>
                <wp:effectExtent b="0" l="0" r="0" t="0"/>
                <wp:wrapNone/>
                <wp:docPr id="2044631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715230"/>
                          <a:ext cx="1828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192405" cy="139065"/>
                <wp:effectExtent b="0" l="0" r="0" t="0"/>
                <wp:wrapNone/>
                <wp:docPr id="2044631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9">
      <w:pPr>
        <w:numPr>
          <w:ilvl w:val="0"/>
          <w:numId w:val="2"/>
        </w:numPr>
        <w:spacing w:after="0" w:line="240" w:lineRule="auto"/>
        <w:ind w:left="0" w:right="57" w:hanging="2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zachodzą w stosunku do mnie podstawy wykluczenia z postępowania na podstawie art. 7 ust. 1 pkt. ………. ww. ustawy  </w:t>
      </w:r>
      <w:r w:rsidDel="00000000" w:rsidR="00000000" w:rsidRPr="00000000">
        <w:rPr>
          <w:i w:val="1"/>
          <w:sz w:val="20"/>
          <w:szCs w:val="20"/>
          <w:rtl w:val="0"/>
        </w:rPr>
        <w:t xml:space="preserve">(podać mającą zastosowanie podstawę wykluczenia)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jeśli wykonawca nie podlega wykluczeniu – wypełnia NIE DOTYCZY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spacing w:after="0" w:line="240" w:lineRule="auto"/>
        <w:ind w:left="0" w:right="57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razie wybrania naszej oferty zobowiązujemy się do podpisania umowy, w miejscu </w:t>
        <w:br w:type="textWrapping"/>
        <w:t xml:space="preserve">i terminie określonym przez Zamawiającego.</w:t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spacing w:after="0" w:line="240" w:lineRule="auto"/>
        <w:ind w:left="0" w:right="57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Wypełniłem obowiązki informacyjne przewidziane w art. 13 lub art. 14 RODO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1)</w:t>
      </w:r>
      <w:r w:rsidDel="00000000" w:rsidR="00000000" w:rsidRPr="00000000">
        <w:rPr>
          <w:sz w:val="20"/>
          <w:szCs w:val="20"/>
          <w:rtl w:val="0"/>
        </w:rPr>
        <w:t xml:space="preserve"> wobec osób fizycznych, od których dane osobowe bezpośrednio lub pośrednio pozyskałem w celu ubiegania się o udzielenie zamówienia w niniejszym postępowaniu.*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hanging="2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 i podpis składającego ofertę)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ind w:left="56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2"/>
        </w:tabs>
        <w:spacing w:after="0" w:line="288" w:lineRule="auto"/>
        <w:ind w:left="0" w:hanging="2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2"/>
        </w:tabs>
        <w:spacing w:after="0" w:line="288" w:lineRule="auto"/>
        <w:ind w:left="0" w:hanging="2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2"/>
        </w:tabs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UWAGA: W przypadku składania oferty w formie elektronicznej Formularz należy podpisać kwalifikowanym podpisem elektronicznym, podpisem zaufanym lub podpisem osobistym osoby uprawnionej do zaciągania zobowiązań w imieniu Wykonawcy.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2"/>
        </w:tabs>
        <w:spacing w:after="0" w:line="288" w:lineRule="auto"/>
        <w:ind w:left="0" w:hanging="2"/>
        <w:jc w:val="both"/>
        <w:rPr>
          <w:color w:val="000000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Dopuszcza się złożenie oferty w formie skanu podpisanej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2"/>
        </w:tabs>
        <w:spacing w:after="0" w:line="288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               1)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 1). 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* W przypadku gdy wykonawca nie przekazuje danych osobowych innych niż bezpośrednio jego dotyczących lub </w:t>
        <w:br w:type="textWrapping"/>
        <w:t xml:space="preserve">           zachodzi wyłączenie stosowania obowiązku informacyjnego, stosownie do art. 13 ust. 4 lub art. 14 ust. 5 RODO  </w:t>
        <w:br w:type="textWrapping"/>
        <w:t xml:space="preserve">           treści oświadczenia wykonawca nie składa (usunięcie treści oświadczenia np. przez jego wykreślenie).</w:t>
      </w:r>
    </w:p>
    <w:p w:rsidR="00000000" w:rsidDel="00000000" w:rsidP="00000000" w:rsidRDefault="00000000" w:rsidRPr="00000000" w14:paraId="0000014A">
      <w:pPr>
        <w:ind w:left="0" w:right="57" w:firstLine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right="57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** </w:t>
      </w:r>
      <w:r w:rsidDel="00000000" w:rsidR="00000000" w:rsidRPr="00000000">
        <w:rPr>
          <w:i w:val="1"/>
          <w:sz w:val="20"/>
          <w:szCs w:val="20"/>
          <w:rtl w:val="0"/>
        </w:rPr>
        <w:t xml:space="preserve">(…) art. 7 ust. 1:</w:t>
      </w:r>
    </w:p>
    <w:p w:rsidR="00000000" w:rsidDel="00000000" w:rsidP="00000000" w:rsidRDefault="00000000" w:rsidRPr="00000000" w14:paraId="0000014C">
      <w:pPr>
        <w:ind w:left="0" w:right="57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„1) wykonawcę oraz uczestnika konkursu wymienionego w wykazach określonych </w:t>
        <w:br w:type="textWrapping"/>
        <w:t xml:space="preserve">w rozporządzeniu 765/2006 i rozporządzeniu 269/2014 albo wpisanego na listę na podstawie decyzji w sprawie wpisu na listę rozstrzygającej o zastosowaniu środka, o którym mowa w art. 1 pkt 3;</w:t>
      </w:r>
    </w:p>
    <w:p w:rsidR="00000000" w:rsidDel="00000000" w:rsidP="00000000" w:rsidRDefault="00000000" w:rsidRPr="00000000" w14:paraId="0000014D">
      <w:pPr>
        <w:ind w:left="0" w:right="57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2) wykonawcę oraz uczestnika konkursu, którego beneficjentem rzeczywistym w rozumieniu </w:t>
      </w:r>
      <w:hyperlink r:id="rId8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ustawy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z dnia 1 marca 2018 r. </w:t>
        <w:br w:type="textWrapping"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  <w:br w:type="textWrapping"/>
        <w:t xml:space="preserve">w sprawie wpisu na listę rozstrzygającej o zastosowaniu środka, o którym mowa w art. 1 pkt 3;</w:t>
      </w:r>
    </w:p>
    <w:p w:rsidR="00000000" w:rsidDel="00000000" w:rsidP="00000000" w:rsidRDefault="00000000" w:rsidRPr="00000000" w14:paraId="0000014E">
      <w:pPr>
        <w:ind w:left="0" w:right="57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3) wykonawcę oraz uczestnika konkursu, którego jednostką dominującą w rozumieniu </w:t>
      </w:r>
      <w:hyperlink r:id="rId9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art. 3 ust. 1 pkt 37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</w:t>
        <w:br w:type="textWrapping"/>
        <w:t xml:space="preserve">o ile został wpisany na listę na podstawie decyzji w sprawie wpisu na listę rozstrzygającej </w:t>
        <w:br w:type="textWrapping"/>
        <w:t xml:space="preserve">o zastosowaniu środka, o którym mowa w art. 1 pkt 3”</w:t>
      </w:r>
    </w:p>
    <w:p w:rsidR="00000000" w:rsidDel="00000000" w:rsidP="00000000" w:rsidRDefault="00000000" w:rsidRPr="00000000" w14:paraId="0000014F">
      <w:pPr>
        <w:spacing w:before="120" w:lineRule="auto"/>
        <w:ind w:left="0" w:right="57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(…) art. 1 pkt. 3</w:t>
      </w:r>
    </w:p>
    <w:p w:rsidR="00000000" w:rsidDel="00000000" w:rsidP="00000000" w:rsidRDefault="00000000" w:rsidRPr="00000000" w14:paraId="00000150">
      <w:pPr>
        <w:spacing w:before="120" w:lineRule="auto"/>
        <w:ind w:left="0" w:right="57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„Art. 1.W celu przeciwdziałania wspieraniu agresji Federacji Rosyjskiej na Ukrainę rozpoczętej </w:t>
        <w:br w:type="textWrapping"/>
        <w:t xml:space="preserve">w dniu 24 lutego 2022 r., wobec osób i podmiotów wpisanych na listę, o której mowa w art. 2, stosuje się:</w:t>
      </w:r>
    </w:p>
    <w:p w:rsidR="00000000" w:rsidDel="00000000" w:rsidP="00000000" w:rsidRDefault="00000000" w:rsidRPr="00000000" w14:paraId="00000151">
      <w:pPr>
        <w:ind w:left="0" w:right="57" w:hanging="2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3) wykluczenie z postępowania o udzielenie zamówienia publicznego lub konkursu prowadzonego na podstawie </w:t>
      </w:r>
      <w:hyperlink r:id="rId10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ustawy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z dnia 11 września 2019 r. - Prawo zamówień publicznych (Dz. U. z 2021 r. poz. 1129, 1598, 2054 i 2269 oraz z 2022 r. poz. 25);”</w:t>
      </w:r>
    </w:p>
    <w:p w:rsidR="00000000" w:rsidDel="00000000" w:rsidP="00000000" w:rsidRDefault="00000000" w:rsidRPr="00000000" w14:paraId="00000152">
      <w:pPr>
        <w:ind w:left="0" w:right="57" w:hanging="2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Załączniki: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Wykaz usług  wraz z referencjami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720" w:top="720" w:left="720" w:right="72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0" w:hanging="2"/>
      <w:jc w:val="right"/>
      <w:rPr>
        <w:rFonts w:ascii="Cambria" w:cs="Cambria" w:eastAsia="Cambria" w:hAnsi="Cambria"/>
        <w:color w:val="000000"/>
        <w:sz w:val="18"/>
        <w:szCs w:val="18"/>
      </w:rPr>
    </w:pPr>
    <w:r w:rsidDel="00000000" w:rsidR="00000000" w:rsidRPr="00000000">
      <w:rPr>
        <w:rFonts w:ascii="Cambria" w:cs="Cambria" w:eastAsia="Cambria" w:hAnsi="Cambria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right="360"/>
      <w:rPr>
        <w:rFonts w:ascii="Cambria" w:cs="Cambria" w:eastAsia="Cambria" w:hAnsi="Cambria"/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0" w:hanging="2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Załącznik nr 1 do Zapytania Ofertowego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ny" w:default="1">
    <w:name w:val="Normal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 w:val="1"/>
      <w:spacing w:after="60" w:before="240" w:line="240" w:lineRule="auto"/>
    </w:pPr>
    <w:rPr>
      <w:rFonts w:ascii="Arial" w:cs="Arial" w:eastAsia="Times New Roman" w:hAnsi="Arial"/>
      <w:b w:val="1"/>
      <w:bCs w:val="1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Podtytu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b w:val="1"/>
      <w:sz w:val="24"/>
      <w:szCs w:val="20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styleId="TekstpodstawowyZnak" w:customStyle="1">
    <w:name w:val="Tekst podstawowy Znak"/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uiPriority w:val="99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 w:val="1"/>
    <w:rPr>
      <w:sz w:val="20"/>
      <w:szCs w:val="20"/>
    </w:rPr>
  </w:style>
  <w:style w:type="character" w:styleId="TekstkomentarzaZnak" w:customStyle="1">
    <w:name w:val="Tekst komentarza Znak"/>
    <w:uiPriority w:val="99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ormalnyWeb">
    <w:name w:val="Normal (Web)"/>
    <w:basedOn w:val="Normalny"/>
    <w:pPr>
      <w:spacing w:after="100" w:afterAutospacing="1" w:before="100" w:beforeAutospacing="1" w:line="240" w:lineRule="auto"/>
    </w:pPr>
    <w:rPr>
      <w:rFonts w:ascii="Arial Unicode MS" w:cs="Arial Unicode MS" w:eastAsia="Arial Unicode MS" w:hAnsi="Arial Unicode MS"/>
      <w:sz w:val="24"/>
      <w:szCs w:val="24"/>
      <w:lang w:eastAsia="pl-PL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kapitzlist">
    <w:name w:val="List Paragraph"/>
    <w:aliases w:val="CW_Lista,Wypunktowanie,L1,Numerowanie,Akapit z listą BS,Nag 1,wypunktowanie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 w:val="1"/>
    <w:pPr>
      <w:ind w:left="720"/>
      <w:contextualSpacing w:val="1"/>
    </w:pPr>
  </w:style>
  <w:style w:type="character" w:styleId="paragraphpunkt1" w:customStyle="1">
    <w:name w:val="paragraphpunkt1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tandard" w:customStyle="1">
    <w:name w:val="Standard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" w:hAnsi="Times"/>
      <w:position w:val="-1"/>
      <w:szCs w:val="24"/>
    </w:rPr>
  </w:style>
  <w:style w:type="paragraph" w:styleId="WW-Tekstpodstawowy2" w:customStyle="1">
    <w:name w:val="WW-Tekst podstawowy 2"/>
    <w:basedOn w:val="Normalny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WW-Tekstpodstawowywcity2" w:customStyle="1">
    <w:name w:val="WW-Tekst podstawowy wci?ty 2"/>
    <w:basedOn w:val="Normalny"/>
    <w:pPr>
      <w:tabs>
        <w:tab w:val="left" w:pos="852"/>
      </w:tabs>
      <w:suppressAutoHyphens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ableContents" w:customStyle="1">
    <w:name w:val="Table Contents"/>
    <w:basedOn w:val="Standard"/>
    <w:pPr>
      <w:widowControl w:val="0"/>
      <w:suppressLineNumbers w:val="1"/>
      <w:suppressAutoHyphens w:val="0"/>
      <w:autoSpaceDE w:val="1"/>
      <w:adjustRightInd w:val="1"/>
    </w:pPr>
    <w:rPr>
      <w:rFonts w:ascii="Times New Roman" w:eastAsia="Lucida Sans Unicode" w:hAnsi="Times New Roman"/>
      <w:kern w:val="3"/>
      <w:sz w:val="24"/>
      <w:lang w:bidi="hi-IN" w:eastAsia="zh-CN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character" w:styleId="TematkomentarzaZnak" w:customStyle="1">
    <w:name w:val="Temat komentarza Znak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il" w:customStyle="1">
    <w:name w:val="il"/>
    <w:basedOn w:val="Domylnaczcionkaakapitu"/>
    <w:rsid w:val="00C91849"/>
  </w:style>
  <w:style w:type="paragraph" w:styleId="Poprawka">
    <w:name w:val="Revision"/>
    <w:hidden w:val="1"/>
    <w:uiPriority w:val="99"/>
    <w:semiHidden w:val="1"/>
    <w:rsid w:val="00AA1D5C"/>
    <w:rPr>
      <w:rFonts w:ascii="Calibri" w:eastAsia="Calibri" w:hAnsi="Calibri"/>
      <w:position w:val="-1"/>
      <w:sz w:val="22"/>
      <w:szCs w:val="22"/>
      <w:lang w:eastAsia="en-US"/>
    </w:rPr>
  </w:style>
  <w:style w:type="character" w:styleId="Hipercze">
    <w:name w:val="Hyperlink"/>
    <w:unhideWhenUsed w:val="1"/>
    <w:qFormat w:val="1"/>
    <w:rsid w:val="001E7ADD"/>
    <w:rPr>
      <w:color w:val="0000ff"/>
      <w:u w:val="single"/>
    </w:rPr>
  </w:style>
  <w:style w:type="character" w:styleId="AkapitzlistZnak" w:customStyle="1">
    <w:name w:val="Akapit z listą Znak"/>
    <w:aliases w:val="CW_Lista Znak,Wypunktowanie Znak,L1 Znak,Numerowanie Znak,Akapit z listą BS Znak,Nag 1 Znak,wypunktowanie Znak,Podsis rysunku Znak,Akapit z listą numerowaną Znak,lp1 Znak,Bullet List Znak,FooterText Znak,numbered Znak,列出段落 Znak"/>
    <w:link w:val="Akapitzlist"/>
    <w:uiPriority w:val="34"/>
    <w:qFormat w:val="1"/>
    <w:locked w:val="1"/>
    <w:rsid w:val="001E7ADD"/>
    <w:rPr>
      <w:rFonts w:ascii="Calibri" w:eastAsia="Calibri" w:hAnsi="Calibri"/>
      <w:position w:val="-1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sip.lex.pl/akty-prawne/dzu-dziennik-ustaw/prawo-zamowien-publicznych-18903829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p.lex.pl/akty-prawne/dzu-dziennik-ustaw/rachunkowosc-16796295/art-3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ip.lex.pl/akty-prawne/dzu-dziennik-ustaw/przeciwdzialanie-praniu-pieniedzy-oraz-finansowaniu-terroryzmu-1870809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ozFLQKbqokOkWncKr9jWmK1vEw==">CgMxLjAyCGguZ2pkZ3hzOAByITE2ZGUyOW9VVUxKOWZxUXkyRFhxbXZxckdVcWJUVDNoRQ==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2024-02-11T17:00:00Z</dcterms:created>
  <dc:creator>Maciej Gędłek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  <property fmtid="{D5CDD505-2E9C-101B-9397-08002B2CF9AE}" pid="3" name="KSOProductBuildVer">
    <vt:lpwstr>1045-11.2.0.10017</vt:lpwstr>
  </property>
</Properties>
</file>